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Приложение 8</w:t>
      </w:r>
    </w:p>
    <w:p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к договору №</w:t>
      </w:r>
    </w:p>
    <w:p>
      <w:pPr>
        <w:rPr>
          <w:rFonts w:ascii="Times New Roman" w:hAnsi="Times New Roman" w:cs="Times New Roman"/>
        </w:rPr>
      </w:pPr>
    </w:p>
    <w:p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Требования к подрядным организациям в части медицинского обеспечения и проведения медицинских осмотров работников подрядных организаций, выполняющих работы/оказывающих услуги на производственных объектах Дочерних Обществ ПАО</w:t>
      </w:r>
      <w:r>
        <w:rPr>
          <w:rFonts w:ascii="Times New Roman" w:hAnsi="Times New Roman" w:cs="Times New Roman"/>
          <w:b/>
          <w:lang w:val="en-US"/>
        </w:rPr>
        <w:t> </w:t>
      </w:r>
      <w:r>
        <w:rPr>
          <w:rFonts w:ascii="Times New Roman" w:hAnsi="Times New Roman" w:cs="Times New Roman"/>
          <w:b/>
        </w:rPr>
        <w:t>«НК</w:t>
      </w:r>
      <w:r>
        <w:rPr>
          <w:rFonts w:ascii="Times New Roman" w:hAnsi="Times New Roman" w:cs="Times New Roman"/>
          <w:b/>
          <w:lang w:val="en-US"/>
        </w:rPr>
        <w:t> </w:t>
      </w:r>
      <w:r>
        <w:rPr>
          <w:rFonts w:ascii="Times New Roman" w:hAnsi="Times New Roman" w:cs="Times New Roman"/>
          <w:b/>
        </w:rPr>
        <w:t>«Роснефть»</w:t>
      </w:r>
    </w:p>
    <w:p>
      <w:pPr>
        <w:ind w:firstLine="708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1. Предварительный медицинский осмотр</w:t>
      </w:r>
    </w:p>
    <w:p>
      <w:pPr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До начала выполнения работ/оказания услуг, подрядная организация (Подрядчик) обязана организовать и оплатить за счет собственных средств проведение предварительного медицинского осмотра работников на предмет отсутствия противопоказаний по состоянию здоровья к выполняемым работам, согласно Приказа Минздравсоцразвития России №З02н от 12 апреля 2011г. «Об утверждении перечней вредных и (или) опасных производственных факторов и работ, при выполнении которых проводятся предварительные и периодические медицинские осмотры (обследования), и Порядка проведения предварительных и периодических медицинских осмотров (обследований) работников, занятых на тяжелых работах и на работах с вредными и (или) опасными условиями труда».</w:t>
      </w:r>
    </w:p>
    <w:p>
      <w:pPr>
        <w:ind w:firstLine="708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2. Периодический медицинский осмотр</w:t>
      </w:r>
    </w:p>
    <w:p>
      <w:pPr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Подрядчик должен организовать и оплатить за счет собственных средств проведение периодического медицинского осмотра работников в соответствии с Приказом Минздравсоцразвития  России №З02н от 12 апреля 2011г. «Об утверждении перечней вредных и (или) опасных производственных факторов и работ, при выполнении которых проводятся предварительные и периодические медицинские осмотры (обследования), и Порядка проведения предварительных и периодических медицинских осмотров (обследований) работников, занятых на тяжелых работах и на работах с вредными и (или) опасными условиями труда».</w:t>
      </w:r>
    </w:p>
    <w:p>
      <w:pPr>
        <w:ind w:firstLine="708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3. Медицинское обслуживание работников</w:t>
      </w:r>
    </w:p>
    <w:p>
      <w:pPr>
        <w:ind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Подрядчик обязан обеспечить условия для своевременного получения работниками медицинской помощи в соответствии с требованиями законодательства, включая требования Трудового кодекса Российской Федерации (статьи 212, 223) и Федерального Закона №323-ФЗ «Об основах охраны здоровья граждан Российской Федерации» (статьи 24,98).  </w:t>
      </w:r>
    </w:p>
    <w:p>
      <w:pPr>
        <w:ind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Экстренная первичная медико-санитарная медицинская помощь работникам Подрядчика (в случаях травм, острых заболеваний) оказывается персоналом здравпунктов Обществ или здравпунктами Подрядчика в соответствии с Планом экстренного медицинского реагирования на участке проведения работ.</w:t>
      </w:r>
    </w:p>
    <w:p>
      <w:pPr>
        <w:ind w:firstLine="708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4. Предвахтовый медицинский осмотр</w:t>
      </w:r>
    </w:p>
    <w:p>
      <w:pPr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 выполнении работ/оказании услуг вахтовым методом, Подрядчик должен организовать из собственных средств предвахтовый медицинский осмотр, в соответствии с п. 8 Постановления №794/33-82 от 31.12.1987 «Основные положения о вахтовом методе организации работ».</w:t>
      </w:r>
    </w:p>
    <w:p>
      <w:pPr>
        <w:ind w:firstLine="708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5. Предрейсовый медицинский осмотр</w:t>
      </w:r>
    </w:p>
    <w:p>
      <w:pPr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Подрядчик обязан организовать проведение предрейсовых (послерейсовых) медицинских осмотров водителей, на период выполнения работ/услуг на производственных объектах ДО ПАО «НК «Роснефть» в соответствии с Федеральным законом Российской Федерации от 10.12.1995 </w:t>
      </w:r>
      <w:r>
        <w:rPr>
          <w:rFonts w:ascii="Times New Roman" w:hAnsi="Times New Roman" w:cs="Times New Roman"/>
        </w:rPr>
        <w:lastRenderedPageBreak/>
        <w:t>№196-ФЗ  «О безопасности дорожного движения» и Стандартом ПАО «НК «Роснефть» «Система управления безопасностью дорожного движения».</w:t>
      </w:r>
    </w:p>
    <w:p>
      <w:pPr>
        <w:ind w:firstLine="708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6. Страхование</w:t>
      </w:r>
    </w:p>
    <w:p>
      <w:pPr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Каждый сотрудник Подрядчика на весь срок проведения им работ/оказания услуг на объектах Обществ должен иметь при себе действующий полис обязательного медицинского страхования (ОМС).</w:t>
      </w:r>
    </w:p>
    <w:p>
      <w:pPr>
        <w:ind w:firstLine="708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7. Оказание первой помощи</w:t>
      </w:r>
    </w:p>
    <w:p>
      <w:pPr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Подрядчик обязан организовать обучение своих сотрудников оказанию первой помощи в соответствии с требованиями Трудового кодекса Российской Федерации (Статья 225. Обучение в области охраны труда) и Правил безопасности в нефтяной и газовой промышленности, утвержденными в 2003г.  ПБ 08-624-03, а также организовать медицинское обеспечение работников и укомплектовать производственные объекты аптечками, в соответствии с требованиями трудового кодекса Российской Федерации (Статья 223. Санитарно-бытовое обслуживание и медицинское обеспечение работников) и Приказом Минздравсоцразвития Российской Федерации от 05.03.2011 №169н  «Об утверждении требований к комплектации изделиями медицинского назначения аптечек для оказания первой помощи работникам».</w:t>
      </w:r>
    </w:p>
    <w:p>
      <w:pPr>
        <w:ind w:firstLine="708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8. Проверка Подрядчика</w:t>
      </w:r>
    </w:p>
    <w:p>
      <w:pPr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Заказчик (Дочернее Общество ПАО «НК «Роснефть») имеет право проводить проверки медицинского обеспечения персоналом Подрядчика и наличие подтверждающих документов о прохождении им обязательных медицинских осмотров, а также участвовать в проведении расследований несчастных случаев, связанных с нарушениями в состоянии здоровья персонала Подрядчика. Заказчик имеет право периодически запрашивать информацию о состоянии медицинской профессиональной пригодности работников Подрядчика с целью контроля соблюдения требований законодательства.</w:t>
      </w:r>
    </w:p>
    <w:p>
      <w:pPr>
        <w:ind w:firstLine="708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9. Ответственность Подрядчика за несоблюдение требований</w:t>
      </w:r>
    </w:p>
    <w:p>
      <w:pPr>
        <w:ind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Допуск к работе сотрудника, не прошедшего предварительный и/или периодический медицинский осмотр, равно как и сотрудника получившего заключение о наличии противопоказаний к выполнению работ/оказанию услуг является нарушением действующего законодательства и влечёт ответственность Подрядчика в размере не менее 100 тыс. руб. за каждый выявленный случай.</w:t>
      </w:r>
    </w:p>
    <w:p>
      <w:pPr>
        <w:ind w:firstLine="708"/>
        <w:rPr>
          <w:rFonts w:ascii="Times New Roman" w:hAnsi="Times New Roman" w:cs="Times New Roman"/>
        </w:rPr>
      </w:pPr>
    </w:p>
    <w:tbl>
      <w:tblPr>
        <w:tblpPr w:leftFromText="180" w:rightFromText="180" w:vertAnchor="text" w:horzAnchor="margin" w:tblpXSpec="center" w:tblpY="-27"/>
        <w:tblW w:w="10244" w:type="dxa"/>
        <w:tblLook w:val="0000" w:firstRow="0" w:lastRow="0" w:firstColumn="0" w:lastColumn="0" w:noHBand="0" w:noVBand="0"/>
      </w:tblPr>
      <w:tblGrid>
        <w:gridCol w:w="5107"/>
        <w:gridCol w:w="5137"/>
      </w:tblGrid>
      <w:tr>
        <w:trPr>
          <w:trHeight w:val="1258"/>
        </w:trPr>
        <w:tc>
          <w:tcPr>
            <w:tcW w:w="5107" w:type="dxa"/>
          </w:tcPr>
          <w:p>
            <w:pPr>
              <w:pStyle w:val="2"/>
              <w:spacing w:line="240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Продавец ОАО «Удмуртнефть»: </w:t>
            </w:r>
          </w:p>
          <w:p>
            <w:pPr>
              <w:pStyle w:val="2"/>
              <w:spacing w:line="240" w:lineRule="auto"/>
              <w:ind w:left="0"/>
              <w:rPr>
                <w:rFonts w:eastAsiaTheme="minorHAnsi"/>
                <w:sz w:val="22"/>
                <w:szCs w:val="22"/>
                <w:lang w:eastAsia="en-US"/>
              </w:rPr>
            </w:pPr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_______________________/___________</w:t>
            </w:r>
            <w:bookmarkStart w:id="0" w:name="_GoBack"/>
            <w:bookmarkEnd w:id="0"/>
            <w:r>
              <w:rPr>
                <w:rFonts w:ascii="Times New Roman" w:hAnsi="Times New Roman" w:cs="Times New Roman"/>
              </w:rPr>
              <w:t xml:space="preserve"> /          (подись) (М.П.)</w:t>
            </w:r>
          </w:p>
        </w:tc>
        <w:tc>
          <w:tcPr>
            <w:tcW w:w="5137" w:type="dxa"/>
          </w:tcPr>
          <w:p>
            <w:pPr>
              <w:pStyle w:val="2"/>
              <w:spacing w:line="240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Покупатель</w:t>
            </w:r>
          </w:p>
          <w:p>
            <w:pPr>
              <w:pStyle w:val="2"/>
              <w:spacing w:line="240" w:lineRule="auto"/>
              <w:rPr>
                <w:rFonts w:eastAsiaTheme="minorHAnsi"/>
                <w:sz w:val="22"/>
                <w:szCs w:val="22"/>
                <w:lang w:eastAsia="en-US"/>
              </w:rPr>
            </w:pPr>
          </w:p>
          <w:p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_________________________/</w:t>
            </w:r>
            <w:r>
              <w:t xml:space="preserve">_________ </w:t>
            </w:r>
            <w:r>
              <w:rPr>
                <w:rFonts w:ascii="Times New Roman" w:hAnsi="Times New Roman" w:cs="Times New Roman"/>
              </w:rPr>
              <w:t xml:space="preserve">/ </w:t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(подпись) (М.П.) </w:t>
            </w:r>
          </w:p>
        </w:tc>
      </w:tr>
    </w:tbl>
    <w:p/>
    <w:p>
      <w:pPr>
        <w:ind w:firstLine="708"/>
        <w:rPr>
          <w:rFonts w:ascii="Times New Roman" w:hAnsi="Times New Roman" w:cs="Times New Roman"/>
          <w:sz w:val="24"/>
          <w:szCs w:val="24"/>
        </w:rPr>
      </w:pPr>
    </w:p>
    <w:p>
      <w:pPr>
        <w:ind w:firstLine="708"/>
        <w:rPr>
          <w:rFonts w:ascii="Times New Roman" w:hAnsi="Times New Roman" w:cs="Times New Roman"/>
          <w:sz w:val="24"/>
          <w:szCs w:val="24"/>
        </w:rPr>
      </w:pPr>
    </w:p>
    <w:p>
      <w:pPr>
        <w:ind w:firstLine="708"/>
        <w:rPr>
          <w:rFonts w:ascii="Times New Roman" w:hAnsi="Times New Roman" w:cs="Times New Roman"/>
          <w:sz w:val="24"/>
          <w:szCs w:val="24"/>
        </w:rPr>
      </w:pPr>
    </w:p>
    <w:sectPr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Body Text Indent 2"/>
    <w:basedOn w:val="a"/>
    <w:link w:val="20"/>
    <w:uiPriority w:val="99"/>
    <w:unhideWhenUsed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Body Text Indent 2"/>
    <w:basedOn w:val="a"/>
    <w:link w:val="20"/>
    <w:uiPriority w:val="99"/>
    <w:unhideWhenUsed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4D9DC5-F412-448B-9995-1E925FA23B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2</Pages>
  <Words>766</Words>
  <Characters>4370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Князев Алексей Юрьевич  </cp:lastModifiedBy>
  <cp:revision>42</cp:revision>
  <cp:lastPrinted>2015-12-18T10:25:00Z</cp:lastPrinted>
  <dcterms:created xsi:type="dcterms:W3CDTF">2015-10-12T07:59:00Z</dcterms:created>
  <dcterms:modified xsi:type="dcterms:W3CDTF">2018-06-08T09:05:00Z</dcterms:modified>
</cp:coreProperties>
</file>